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C1611A">
        <w:rPr>
          <w:sz w:val="28"/>
        </w:rPr>
        <w:t>Fahrtrichtung geradeaus</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C1611A" w:rsidTr="00C1611A">
        <w:tc>
          <w:tcPr>
            <w:tcW w:w="2466" w:type="dxa"/>
            <w:tcBorders>
              <w:top w:val="single" w:sz="4" w:space="0" w:color="auto"/>
            </w:tcBorders>
            <w:vAlign w:val="center"/>
          </w:tcPr>
          <w:p w:rsidR="00C1611A" w:rsidRDefault="00C1611A" w:rsidP="009F4315">
            <w:pPr>
              <w:pStyle w:val="IQB-Merkmal"/>
            </w:pPr>
            <w:r>
              <w:t>Leitidee</w:t>
            </w:r>
          </w:p>
        </w:tc>
        <w:tc>
          <w:tcPr>
            <w:tcW w:w="6604" w:type="dxa"/>
            <w:tcBorders>
              <w:top w:val="single" w:sz="4" w:space="0" w:color="auto"/>
            </w:tcBorders>
          </w:tcPr>
          <w:p w:rsidR="00C1611A" w:rsidRDefault="00C1611A" w:rsidP="009F4315">
            <w:pPr>
              <w:pStyle w:val="IQB-Merkmalswert"/>
            </w:pPr>
            <w:r>
              <w:t>3. Raum und Form</w:t>
            </w:r>
          </w:p>
        </w:tc>
      </w:tr>
      <w:tr w:rsidR="00C1611A" w:rsidTr="00C1611A">
        <w:tc>
          <w:tcPr>
            <w:tcW w:w="2466" w:type="dxa"/>
            <w:vAlign w:val="center"/>
          </w:tcPr>
          <w:p w:rsidR="00C1611A" w:rsidRDefault="00C1611A" w:rsidP="009F4315">
            <w:pPr>
              <w:pStyle w:val="IQB-Merkmal"/>
            </w:pPr>
            <w:r>
              <w:t>Allgemeine Kompetenz</w:t>
            </w:r>
          </w:p>
        </w:tc>
        <w:tc>
          <w:tcPr>
            <w:tcW w:w="6604" w:type="dxa"/>
          </w:tcPr>
          <w:p w:rsidR="00C1611A" w:rsidRDefault="00C1611A" w:rsidP="009F4315">
            <w:pPr>
              <w:pStyle w:val="IQB-Merkmalswert"/>
            </w:pPr>
            <w:r>
              <w:t>Mathematische Darstellungen verwenden (K4)</w:t>
            </w:r>
          </w:p>
        </w:tc>
      </w:tr>
      <w:tr w:rsidR="00C1611A" w:rsidTr="00C1611A">
        <w:tc>
          <w:tcPr>
            <w:tcW w:w="2466" w:type="dxa"/>
            <w:vAlign w:val="center"/>
          </w:tcPr>
          <w:p w:rsidR="00C1611A" w:rsidRDefault="00C1611A" w:rsidP="009F4315">
            <w:pPr>
              <w:pStyle w:val="IQB-Merkmal"/>
            </w:pPr>
            <w:r>
              <w:t>Anforderungsbereich</w:t>
            </w:r>
          </w:p>
        </w:tc>
        <w:tc>
          <w:tcPr>
            <w:tcW w:w="6604" w:type="dxa"/>
          </w:tcPr>
          <w:p w:rsidR="00C1611A" w:rsidRDefault="00C1611A" w:rsidP="009F4315">
            <w:pPr>
              <w:pStyle w:val="IQB-Merkmalswert"/>
            </w:pPr>
            <w:r>
              <w:t>I</w:t>
            </w:r>
          </w:p>
        </w:tc>
      </w:tr>
      <w:tr w:rsidR="00C1611A" w:rsidTr="00C1611A">
        <w:tc>
          <w:tcPr>
            <w:tcW w:w="2466" w:type="dxa"/>
            <w:tcBorders>
              <w:bottom w:val="single" w:sz="4" w:space="0" w:color="auto"/>
            </w:tcBorders>
            <w:vAlign w:val="center"/>
          </w:tcPr>
          <w:p w:rsidR="00C1611A" w:rsidRDefault="00C1611A" w:rsidP="009F4315">
            <w:pPr>
              <w:pStyle w:val="IQB-Merkmal"/>
            </w:pPr>
            <w:r>
              <w:t>Kompetenzstufe</w:t>
            </w:r>
          </w:p>
        </w:tc>
        <w:tc>
          <w:tcPr>
            <w:tcW w:w="6604" w:type="dxa"/>
            <w:tcBorders>
              <w:bottom w:val="single" w:sz="4" w:space="0" w:color="auto"/>
            </w:tcBorders>
          </w:tcPr>
          <w:p w:rsidR="00C1611A" w:rsidRDefault="00C1611A" w:rsidP="009F4315">
            <w:pPr>
              <w:pStyle w:val="IQB-Merkmalswert"/>
            </w:pPr>
            <w:r>
              <w:t>2</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C1611A" w:rsidTr="00C1611A">
        <w:tc>
          <w:tcPr>
            <w:tcW w:w="2466" w:type="dxa"/>
            <w:tcBorders>
              <w:top w:val="single" w:sz="4" w:space="0" w:color="auto"/>
            </w:tcBorders>
            <w:vAlign w:val="center"/>
          </w:tcPr>
          <w:p w:rsidR="00C1611A" w:rsidRDefault="00C1611A" w:rsidP="009F4315">
            <w:pPr>
              <w:pStyle w:val="IQB-Merkmal"/>
            </w:pPr>
            <w:r>
              <w:t>Leitidee</w:t>
            </w:r>
          </w:p>
        </w:tc>
        <w:tc>
          <w:tcPr>
            <w:tcW w:w="6604" w:type="dxa"/>
            <w:tcBorders>
              <w:top w:val="single" w:sz="4" w:space="0" w:color="auto"/>
            </w:tcBorders>
          </w:tcPr>
          <w:p w:rsidR="00C1611A" w:rsidRDefault="00C1611A" w:rsidP="009F4315">
            <w:pPr>
              <w:pStyle w:val="IQB-Merkmalswert"/>
            </w:pPr>
            <w:r>
              <w:t>3. Raum und Form</w:t>
            </w:r>
          </w:p>
        </w:tc>
      </w:tr>
      <w:tr w:rsidR="00C1611A" w:rsidTr="00C1611A">
        <w:tc>
          <w:tcPr>
            <w:tcW w:w="2466" w:type="dxa"/>
            <w:vAlign w:val="center"/>
          </w:tcPr>
          <w:p w:rsidR="00C1611A" w:rsidRDefault="00C1611A" w:rsidP="009F4315">
            <w:pPr>
              <w:pStyle w:val="IQB-Merkmal"/>
            </w:pPr>
            <w:r>
              <w:t>Allgemeine Kompetenz</w:t>
            </w:r>
          </w:p>
        </w:tc>
        <w:tc>
          <w:tcPr>
            <w:tcW w:w="6604" w:type="dxa"/>
          </w:tcPr>
          <w:p w:rsidR="00C1611A" w:rsidRDefault="00C1611A" w:rsidP="009F4315">
            <w:pPr>
              <w:pStyle w:val="IQB-Merkmalswert"/>
            </w:pPr>
            <w:r>
              <w:t>Mathematische Darstellungen verwenden (K4)</w:t>
            </w:r>
          </w:p>
        </w:tc>
      </w:tr>
      <w:tr w:rsidR="00C1611A" w:rsidTr="00C1611A">
        <w:tc>
          <w:tcPr>
            <w:tcW w:w="2466" w:type="dxa"/>
            <w:vAlign w:val="center"/>
          </w:tcPr>
          <w:p w:rsidR="00C1611A" w:rsidRDefault="00C1611A" w:rsidP="009F4315">
            <w:pPr>
              <w:pStyle w:val="IQB-Merkmal"/>
            </w:pPr>
            <w:r>
              <w:t>Anforderungsbereich</w:t>
            </w:r>
          </w:p>
        </w:tc>
        <w:tc>
          <w:tcPr>
            <w:tcW w:w="6604" w:type="dxa"/>
          </w:tcPr>
          <w:p w:rsidR="00C1611A" w:rsidRDefault="00C1611A" w:rsidP="009F4315">
            <w:pPr>
              <w:pStyle w:val="IQB-Merkmalswert"/>
            </w:pPr>
            <w:r>
              <w:t>I</w:t>
            </w:r>
          </w:p>
        </w:tc>
      </w:tr>
      <w:tr w:rsidR="00C1611A" w:rsidTr="00C1611A">
        <w:tc>
          <w:tcPr>
            <w:tcW w:w="2466" w:type="dxa"/>
            <w:tcBorders>
              <w:bottom w:val="single" w:sz="4" w:space="0" w:color="auto"/>
            </w:tcBorders>
            <w:vAlign w:val="center"/>
          </w:tcPr>
          <w:p w:rsidR="00C1611A" w:rsidRDefault="00C1611A" w:rsidP="009F4315">
            <w:pPr>
              <w:pStyle w:val="IQB-Merkmal"/>
            </w:pPr>
            <w:r>
              <w:t>Kompetenzstufe</w:t>
            </w:r>
          </w:p>
        </w:tc>
        <w:tc>
          <w:tcPr>
            <w:tcW w:w="6604" w:type="dxa"/>
            <w:tcBorders>
              <w:bottom w:val="single" w:sz="4" w:space="0" w:color="auto"/>
            </w:tcBorders>
          </w:tcPr>
          <w:p w:rsidR="00C1611A" w:rsidRDefault="00C1611A" w:rsidP="009F4315">
            <w:pPr>
              <w:pStyle w:val="IQB-Merkmalswert"/>
            </w:pPr>
            <w:r>
              <w:t>1b</w:t>
            </w:r>
          </w:p>
        </w:tc>
      </w:tr>
    </w:tbl>
    <w:p w:rsidR="00694A63" w:rsidRPr="00694A63" w:rsidRDefault="00694A63" w:rsidP="00694A63">
      <w:pPr>
        <w:pStyle w:val="IQB-Teilaufgabentitel"/>
        <w:rPr>
          <w:b/>
        </w:rPr>
      </w:pPr>
      <w:r w:rsidRPr="00694A63">
        <w:rPr>
          <w:b/>
        </w:rPr>
        <w:t>Aufgabenbezogener Kommentar</w:t>
      </w:r>
    </w:p>
    <w:p w:rsidR="00C1611A" w:rsidRPr="006A0EBD" w:rsidRDefault="00C1611A" w:rsidP="00C1611A">
      <w:pPr>
        <w:pStyle w:val="IQB-Standard"/>
        <w:rPr>
          <w:sz w:val="22"/>
          <w:szCs w:val="22"/>
        </w:rPr>
      </w:pPr>
      <w:r w:rsidRPr="006A0EBD">
        <w:rPr>
          <w:sz w:val="22"/>
          <w:szCs w:val="22"/>
        </w:rPr>
        <w:t>Weil es in beiden Teilaufgaben um Symmetriebetrachtungen geht, werden sie der Leitidee Raum und Form (L3) zugeordnet.</w:t>
      </w:r>
    </w:p>
    <w:p w:rsidR="00C1611A" w:rsidRPr="006A0EBD" w:rsidRDefault="00C1611A" w:rsidP="00C1611A">
      <w:pPr>
        <w:pStyle w:val="IQB-Standard"/>
        <w:rPr>
          <w:sz w:val="22"/>
          <w:szCs w:val="22"/>
        </w:rPr>
      </w:pPr>
      <w:r w:rsidRPr="006A0EBD">
        <w:rPr>
          <w:sz w:val="22"/>
          <w:szCs w:val="22"/>
        </w:rPr>
        <w:t>In der Aufgabenstellung ist ein Bild eines Verkehrszeichens gegeben. Die erste Teilaufgabe fordert die Schülerinnen und Schüler dazu auf, eine Symmetrieachse in das Bild einzuzeichnen, und in der zweiten Teilaufgabe sollen sie angeben, wie viele Symmetrieachsen das abgebildete Verkehrszeichen insgesamt hat (K4).</w:t>
      </w:r>
    </w:p>
    <w:p w:rsidR="00C1611A" w:rsidRPr="006A0EBD" w:rsidRDefault="00C1611A" w:rsidP="00C1611A">
      <w:pPr>
        <w:pStyle w:val="IQB-Standard"/>
        <w:rPr>
          <w:sz w:val="22"/>
          <w:szCs w:val="22"/>
        </w:rPr>
      </w:pPr>
      <w:r w:rsidRPr="006A0EBD">
        <w:rPr>
          <w:sz w:val="22"/>
          <w:szCs w:val="22"/>
        </w:rPr>
        <w:t>Weil die Anforderungen an die genannten Kompetenzen eher gering sind (sie entsprechen Grundschulaufgaben), können beide Teilaufgaben dem Anforderungsbereich I zugeordnet werden.</w:t>
      </w:r>
    </w:p>
    <w:p w:rsidR="00694A63" w:rsidRPr="00694A63" w:rsidRDefault="00694A63" w:rsidP="00694A63">
      <w:pPr>
        <w:pStyle w:val="IQB-Teilaufgabentitel"/>
        <w:rPr>
          <w:b/>
        </w:rPr>
      </w:pPr>
      <w:r w:rsidRPr="00694A63">
        <w:rPr>
          <w:b/>
        </w:rPr>
        <w:t>Anregungen für den Unterricht</w:t>
      </w:r>
    </w:p>
    <w:p w:rsidR="00C1611A" w:rsidRPr="006A0EBD" w:rsidRDefault="00C1611A" w:rsidP="00C1611A">
      <w:pPr>
        <w:pStyle w:val="IQB-Standard"/>
        <w:rPr>
          <w:sz w:val="22"/>
          <w:szCs w:val="22"/>
        </w:rPr>
      </w:pPr>
      <w:r w:rsidRPr="006A0EBD">
        <w:rPr>
          <w:sz w:val="22"/>
          <w:szCs w:val="22"/>
        </w:rPr>
        <w:t>In dieser Aufgabe wird ein realistisches Material (Verkehrsschild) im Hinblick auf mathematische Eigenschaften (Achsensymmetrie) untersucht. Die Aufgabe kann leicht zu einem Erkundungsauftrag ausgeweitet werden. So können Schülerinnen und Schüler z.</w:t>
      </w:r>
      <w:r w:rsidRPr="00560E35">
        <w:rPr>
          <w:sz w:val="11"/>
          <w:szCs w:val="11"/>
        </w:rPr>
        <w:t xml:space="preserve"> </w:t>
      </w:r>
      <w:r w:rsidRPr="006A0EBD">
        <w:rPr>
          <w:sz w:val="22"/>
          <w:szCs w:val="22"/>
        </w:rPr>
        <w:t>B. in einer Hausaufgabe dazu aufgefordert werden, eigene Erkundungen zu Verkehrsschildern oder Gebäuden und deren Symmetrieeigenschaften anzustellen. Mit einer Digitalkamera (z.</w:t>
      </w:r>
      <w:r>
        <w:rPr>
          <w:sz w:val="11"/>
          <w:szCs w:val="11"/>
        </w:rPr>
        <w:t> </w:t>
      </w:r>
      <w:r w:rsidRPr="006A0EBD">
        <w:rPr>
          <w:sz w:val="22"/>
          <w:szCs w:val="22"/>
        </w:rPr>
        <w:t>B. in einem Smartphone) können geometrische Formen leicht festgehalten werden.</w:t>
      </w:r>
    </w:p>
    <w:p w:rsidR="00C1611A" w:rsidRDefault="00C1611A" w:rsidP="00C1611A">
      <w:pPr>
        <w:pStyle w:val="IQB-Standard"/>
        <w:rPr>
          <w:sz w:val="22"/>
          <w:szCs w:val="22"/>
        </w:rPr>
      </w:pPr>
      <w:r w:rsidRPr="006A0EBD">
        <w:rPr>
          <w:sz w:val="22"/>
          <w:szCs w:val="22"/>
        </w:rPr>
        <w:t>Begriffe aus der Geometrie (wie Achsen- und Punktsymmetrie) bieten die interessante Möglichkeit, anschaulich fassbar gemacht zu werden. D.</w:t>
      </w:r>
      <w:r>
        <w:rPr>
          <w:sz w:val="11"/>
          <w:szCs w:val="11"/>
        </w:rPr>
        <w:t> </w:t>
      </w:r>
      <w:r w:rsidRPr="006A0EBD">
        <w:rPr>
          <w:sz w:val="22"/>
          <w:szCs w:val="22"/>
        </w:rPr>
        <w:t>h. Die Operation „Achsenspiegelung“ lässt sich in konkreten Handlungen umsetzen und in ihren Eigenschaften direkt an Beispielen untersuchen. Hier kann die ikonische Darstellung in Form von Zeichnungen oder die symbolische Darstellung, z.</w:t>
      </w:r>
      <w:r>
        <w:rPr>
          <w:sz w:val="11"/>
          <w:szCs w:val="11"/>
        </w:rPr>
        <w:t> </w:t>
      </w:r>
      <w:r w:rsidRPr="006A0EBD">
        <w:rPr>
          <w:sz w:val="22"/>
          <w:szCs w:val="22"/>
        </w:rPr>
        <w:t>B. in Form von Termen, mit der enaktiven Darstellung (d.</w:t>
      </w:r>
      <w:r>
        <w:rPr>
          <w:sz w:val="11"/>
          <w:szCs w:val="11"/>
        </w:rPr>
        <w:t> </w:t>
      </w:r>
      <w:r w:rsidRPr="006A0EBD">
        <w:rPr>
          <w:sz w:val="22"/>
          <w:szCs w:val="22"/>
        </w:rPr>
        <w:t>h. in Handlungen) verbunden werden. Die Schülerinnen und Schüler können Symmetrieachsen, Mittelsenkrechten und Winkelhalbierende bzw. deren Eigenschaften mit transparentem Papier oder Taschenspiegeln selbst erkunden (s. Abb. 1).</w:t>
      </w:r>
    </w:p>
    <w:p w:rsidR="00C1611A" w:rsidRPr="006A0EBD" w:rsidRDefault="00C1611A" w:rsidP="00C1611A">
      <w:pPr>
        <w:pStyle w:val="IQB-Standard"/>
        <w:rPr>
          <w:sz w:val="22"/>
          <w:szCs w:val="22"/>
        </w:rPr>
      </w:pPr>
    </w:p>
    <w:p w:rsidR="00C1611A" w:rsidRDefault="00C1611A" w:rsidP="00C1611A">
      <w:pPr>
        <w:pStyle w:val="IQB-Standard"/>
        <w:keepNext/>
      </w:pPr>
      <w:r w:rsidRPr="00D2488A">
        <w:rPr>
          <w:noProof/>
        </w:rPr>
        <w:drawing>
          <wp:inline distT="0" distB="0" distL="0" distR="0">
            <wp:extent cx="2159635" cy="1421130"/>
            <wp:effectExtent l="0" t="0" r="0" b="762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6"/>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2159635" cy="1421130"/>
                    </a:xfrm>
                    <a:prstGeom prst="rect">
                      <a:avLst/>
                    </a:prstGeom>
                    <a:noFill/>
                    <a:ln>
                      <a:noFill/>
                    </a:ln>
                  </pic:spPr>
                </pic:pic>
              </a:graphicData>
            </a:graphic>
          </wp:inline>
        </w:drawing>
      </w:r>
    </w:p>
    <w:p w:rsidR="00C1611A" w:rsidRPr="006A0EBD" w:rsidRDefault="00C1611A" w:rsidP="00C1611A">
      <w:pPr>
        <w:pStyle w:val="Beschriftung"/>
        <w:rPr>
          <w:b w:val="0"/>
          <w:bCs w:val="0"/>
        </w:rPr>
      </w:pPr>
      <w:r w:rsidRPr="006A0EBD">
        <w:rPr>
          <w:b w:val="0"/>
          <w:bCs w:val="0"/>
        </w:rPr>
        <w:t xml:space="preserve">Abbildung </w:t>
      </w:r>
      <w:r w:rsidRPr="006A0EBD">
        <w:rPr>
          <w:b w:val="0"/>
          <w:bCs w:val="0"/>
        </w:rPr>
        <w:fldChar w:fldCharType="begin"/>
      </w:r>
      <w:r w:rsidRPr="006A0EBD">
        <w:rPr>
          <w:b w:val="0"/>
          <w:bCs w:val="0"/>
        </w:rPr>
        <w:instrText xml:space="preserve"> SEQ Abbildung \* ARABIC </w:instrText>
      </w:r>
      <w:r w:rsidRPr="006A0EBD">
        <w:rPr>
          <w:b w:val="0"/>
          <w:bCs w:val="0"/>
        </w:rPr>
        <w:fldChar w:fldCharType="separate"/>
      </w:r>
      <w:r w:rsidRPr="006A0EBD">
        <w:rPr>
          <w:b w:val="0"/>
          <w:bCs w:val="0"/>
        </w:rPr>
        <w:t>1</w:t>
      </w:r>
      <w:r w:rsidRPr="006A0EBD">
        <w:rPr>
          <w:b w:val="0"/>
          <w:bCs w:val="0"/>
        </w:rPr>
        <w:fldChar w:fldCharType="end"/>
      </w:r>
    </w:p>
    <w:p w:rsidR="00C1611A" w:rsidRDefault="00C1611A" w:rsidP="00C1611A">
      <w:pPr>
        <w:pStyle w:val="IQB-Standard"/>
        <w:rPr>
          <w:sz w:val="22"/>
          <w:szCs w:val="22"/>
        </w:rPr>
      </w:pPr>
      <w:r w:rsidRPr="006A0EBD">
        <w:rPr>
          <w:sz w:val="22"/>
          <w:szCs w:val="22"/>
        </w:rPr>
        <w:t xml:space="preserve">Auch der Begriff der Punktsymmetrie (und allgemein der Drehsymmetrie) kann mit zwei übereinandergelegten Blättern, von denen eines idealerweise eine Folie ist, enaktiv-experimentell erschlossen werden. Es bietet sich an, den Drehpunkt durch einen Pin zu fixieren. </w:t>
      </w:r>
    </w:p>
    <w:p w:rsidR="00C1611A" w:rsidRDefault="00C1611A" w:rsidP="00C1611A">
      <w:pPr>
        <w:pStyle w:val="IQB-Standard"/>
        <w:rPr>
          <w:sz w:val="22"/>
          <w:szCs w:val="22"/>
        </w:rPr>
      </w:pPr>
      <w:r w:rsidRPr="006A0EBD">
        <w:rPr>
          <w:sz w:val="22"/>
          <w:szCs w:val="22"/>
        </w:rPr>
        <w:lastRenderedPageBreak/>
        <w:t>Außerdem lernen die Schülerinnen und Schüler so Aussagen mit Hilfe anschauungsbasierter Argumente zu begründen. Aussagen wie „Dies ist eine Symmetrieachse“ oder „Dies ist ein gleichseitiges Dreieck“ können ohne allein durch Anlegen eines Spiegels bzw. Falten eines Blattes überprüft, bestätigt oder widerlegt werden.</w:t>
      </w:r>
    </w:p>
    <w:p w:rsidR="00C1611A" w:rsidRPr="006A0EBD" w:rsidRDefault="00C1611A" w:rsidP="00C1611A">
      <w:pPr>
        <w:pStyle w:val="IQB-Standard"/>
        <w:rPr>
          <w:sz w:val="22"/>
          <w:szCs w:val="22"/>
        </w:rPr>
      </w:pPr>
    </w:p>
    <w:p w:rsidR="00C1611A" w:rsidRDefault="00C1611A" w:rsidP="00C1611A">
      <w:pPr>
        <w:keepNext/>
      </w:pPr>
      <w:r w:rsidRPr="00D2488A">
        <w:rPr>
          <w:noProof/>
        </w:rPr>
        <w:drawing>
          <wp:inline distT="0" distB="0" distL="0" distR="0">
            <wp:extent cx="2145030" cy="1624965"/>
            <wp:effectExtent l="0" t="0" r="7620" b="5143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7"/>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2145030" cy="1624965"/>
                    </a:xfrm>
                    <a:prstGeom prst="rect">
                      <a:avLst/>
                    </a:prstGeom>
                    <a:noFill/>
                    <a:ln>
                      <a:noFill/>
                    </a:ln>
                    <a:effectLst>
                      <a:outerShdw dist="50800" dir="5400000" algn="ctr" rotWithShape="0">
                        <a:srgbClr val="000000">
                          <a:alpha val="43137"/>
                        </a:srgbClr>
                      </a:outerShdw>
                    </a:effectLst>
                  </pic:spPr>
                </pic:pic>
              </a:graphicData>
            </a:graphic>
          </wp:inline>
        </w:drawing>
      </w:r>
      <w:bookmarkStart w:id="0" w:name="_GoBack"/>
      <w:bookmarkEnd w:id="0"/>
    </w:p>
    <w:p w:rsidR="00C1611A" w:rsidRDefault="00C1611A" w:rsidP="00C1611A">
      <w:pPr>
        <w:pStyle w:val="Beschriftung"/>
        <w:rPr>
          <w:b w:val="0"/>
          <w:bCs w:val="0"/>
        </w:rPr>
      </w:pPr>
      <w:r w:rsidRPr="006A0EBD">
        <w:rPr>
          <w:b w:val="0"/>
          <w:bCs w:val="0"/>
        </w:rPr>
        <w:t xml:space="preserve">Abbildung </w:t>
      </w:r>
      <w:r w:rsidRPr="006A0EBD">
        <w:rPr>
          <w:b w:val="0"/>
          <w:bCs w:val="0"/>
        </w:rPr>
        <w:fldChar w:fldCharType="begin"/>
      </w:r>
      <w:r w:rsidRPr="006A0EBD">
        <w:rPr>
          <w:b w:val="0"/>
          <w:bCs w:val="0"/>
        </w:rPr>
        <w:instrText xml:space="preserve"> SEQ Abbildung \* ARABIC </w:instrText>
      </w:r>
      <w:r w:rsidRPr="006A0EBD">
        <w:rPr>
          <w:b w:val="0"/>
          <w:bCs w:val="0"/>
        </w:rPr>
        <w:fldChar w:fldCharType="separate"/>
      </w:r>
      <w:r w:rsidRPr="006A0EBD">
        <w:rPr>
          <w:b w:val="0"/>
          <w:bCs w:val="0"/>
        </w:rPr>
        <w:t>2</w:t>
      </w:r>
      <w:r w:rsidRPr="006A0EBD">
        <w:rPr>
          <w:b w:val="0"/>
          <w:bCs w:val="0"/>
        </w:rPr>
        <w:fldChar w:fldCharType="end"/>
      </w:r>
    </w:p>
    <w:p w:rsidR="00694A63" w:rsidRPr="007E6CC0" w:rsidRDefault="00694A63" w:rsidP="00C1611A">
      <w:pPr>
        <w:pStyle w:val="IQB-Standard"/>
        <w:rPr>
          <w:sz w:val="22"/>
          <w:szCs w:val="22"/>
        </w:rPr>
      </w:pPr>
    </w:p>
    <w:sectPr w:rsidR="00694A63" w:rsidRPr="007E6CC0"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42E82DDD-5D7D-41B2-9161-D650AE92C29A}"/>
    <w:embedBold r:id="rId2" w:fontKey="{BEEC57BE-D60C-42C2-A782-C5E171336086}"/>
    <w:embedBoldItalic r:id="rId3" w:fontKey="{B4885D7B-C576-4A33-B8ED-693DC4F43D01}"/>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4:docId w14:val="6F67C183"/>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220CF3-EE5C-46C8-A581-D1BDD76EE3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357</Words>
  <Characters>2521</Characters>
  <Application>Microsoft Office Word</Application>
  <DocSecurity>0</DocSecurity>
  <Lines>210</Lines>
  <Paragraphs>169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2025-06-02T12:38:00Z</dcterms:created>
  <dcterms:modified xsi:type="dcterms:W3CDTF">2025-06-02T12:38:00Z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